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97CB7" w14:textId="230555D7" w:rsidR="00437770" w:rsidRPr="008A37FB" w:rsidRDefault="00437770" w:rsidP="00437770">
      <w:pPr>
        <w:rPr>
          <w:rFonts w:ascii="KievitPro-Book" w:hAnsi="KievitPro-Book"/>
          <w:sz w:val="24"/>
          <w:szCs w:val="24"/>
          <w:lang w:val="fr-CH"/>
        </w:rPr>
      </w:pPr>
      <w:bookmarkStart w:id="0" w:name="_GoBack"/>
      <w:bookmarkEnd w:id="0"/>
      <w:r w:rsidRPr="008A37FB">
        <w:rPr>
          <w:rFonts w:ascii="KievitPro-Book" w:hAnsi="KievitPro-Book"/>
          <w:sz w:val="24"/>
          <w:szCs w:val="24"/>
          <w:lang w:val="fr-CH"/>
        </w:rPr>
        <w:t xml:space="preserve">Berne, 5.7.2023 / Christian Feller, </w:t>
      </w:r>
      <w:r>
        <w:rPr>
          <w:rFonts w:ascii="KievitPro-Book" w:hAnsi="KievitPro-Book"/>
          <w:sz w:val="24"/>
          <w:szCs w:val="24"/>
          <w:lang w:val="fr-CH"/>
        </w:rPr>
        <w:t>responsable ISCOR</w:t>
      </w:r>
    </w:p>
    <w:p w14:paraId="70B23445" w14:textId="77777777" w:rsidR="00437770" w:rsidRPr="008A37FB" w:rsidRDefault="00437770" w:rsidP="00437770">
      <w:pPr>
        <w:rPr>
          <w:rFonts w:ascii="KievitPro-Book" w:hAnsi="KievitPro-Book"/>
          <w:sz w:val="30"/>
          <w:szCs w:val="30"/>
          <w:lang w:val="fr-CH"/>
        </w:rPr>
      </w:pPr>
    </w:p>
    <w:p w14:paraId="7F8C3951" w14:textId="77777777" w:rsidR="00437770" w:rsidRPr="008A37FB" w:rsidRDefault="00437770" w:rsidP="00437770">
      <w:pPr>
        <w:rPr>
          <w:rFonts w:ascii="KievitPro-Book" w:hAnsi="KievitPro-Book"/>
          <w:sz w:val="30"/>
          <w:szCs w:val="30"/>
          <w:lang w:val="fr-CH"/>
        </w:rPr>
      </w:pPr>
    </w:p>
    <w:p w14:paraId="417FDB2D" w14:textId="77777777" w:rsidR="00437770" w:rsidRPr="001B073F" w:rsidRDefault="00437770" w:rsidP="00437770">
      <w:pPr>
        <w:autoSpaceDE w:val="0"/>
        <w:autoSpaceDN w:val="0"/>
        <w:rPr>
          <w:rFonts w:ascii="KievitPro-Book" w:hAnsi="KievitPro-Book" w:cstheme="majorBidi"/>
          <w:b/>
          <w:snapToGrid/>
          <w:sz w:val="30"/>
          <w:szCs w:val="30"/>
          <w:lang w:val="fr-CH" w:bidi="de-DE"/>
        </w:rPr>
      </w:pPr>
      <w:r>
        <w:rPr>
          <w:rFonts w:ascii="KievitPro-Book" w:hAnsi="KievitPro-Book" w:cstheme="majorBidi"/>
          <w:b/>
          <w:snapToGrid/>
          <w:sz w:val="30"/>
          <w:szCs w:val="30"/>
          <w:lang w:val="fr-CH" w:bidi="de-DE"/>
        </w:rPr>
        <w:t>Correction du complément</w:t>
      </w:r>
      <w:r w:rsidRPr="001B073F">
        <w:rPr>
          <w:rFonts w:ascii="KievitPro-Book" w:hAnsi="KievitPro-Book" w:cstheme="majorBidi"/>
          <w:b/>
          <w:snapToGrid/>
          <w:sz w:val="30"/>
          <w:szCs w:val="30"/>
          <w:lang w:val="fr-CH" w:bidi="de-DE"/>
        </w:rPr>
        <w:t xml:space="preserve"> da</w:t>
      </w:r>
      <w:r>
        <w:rPr>
          <w:rFonts w:ascii="KievitPro-Book" w:hAnsi="KievitPro-Book" w:cstheme="majorBidi"/>
          <w:b/>
          <w:snapToGrid/>
          <w:sz w:val="30"/>
          <w:szCs w:val="30"/>
          <w:lang w:val="fr-CH" w:bidi="de-DE"/>
        </w:rPr>
        <w:t>ns l'exemple de rapport n° 17, NCR</w:t>
      </w:r>
      <w:r w:rsidRPr="001B073F">
        <w:rPr>
          <w:rFonts w:ascii="KievitPro-Book" w:hAnsi="KievitPro-Book" w:cstheme="majorBidi"/>
          <w:b/>
          <w:snapToGrid/>
          <w:sz w:val="30"/>
          <w:szCs w:val="30"/>
          <w:lang w:val="fr-CH" w:bidi="de-DE"/>
        </w:rPr>
        <w:t xml:space="preserve"> 2022 :</w:t>
      </w:r>
    </w:p>
    <w:p w14:paraId="610825D6" w14:textId="77777777" w:rsidR="00437770" w:rsidRPr="001B073F" w:rsidRDefault="00437770" w:rsidP="00437770">
      <w:pPr>
        <w:pStyle w:val="ESUTBold"/>
        <w:rPr>
          <w:rFonts w:ascii="KievitPro-Book" w:hAnsi="KievitPro-Book"/>
          <w:sz w:val="24"/>
          <w:szCs w:val="24"/>
          <w:lang w:val="fr-CH"/>
        </w:rPr>
      </w:pPr>
    </w:p>
    <w:p w14:paraId="10A07071" w14:textId="77777777" w:rsidR="00437770" w:rsidRPr="008A37FB" w:rsidRDefault="00437770" w:rsidP="00437770">
      <w:pPr>
        <w:numPr>
          <w:ilvl w:val="0"/>
          <w:numId w:val="21"/>
        </w:numPr>
        <w:tabs>
          <w:tab w:val="num" w:pos="720"/>
        </w:tabs>
        <w:ind w:left="426"/>
        <w:contextualSpacing/>
        <w:jc w:val="left"/>
        <w:rPr>
          <w:rFonts w:ascii="KievitPro-Book" w:hAnsi="KievitPro-Book"/>
          <w:sz w:val="24"/>
          <w:szCs w:val="24"/>
          <w:lang w:val="fr-CH"/>
        </w:rPr>
      </w:pPr>
      <w:r w:rsidRPr="008A37FB">
        <w:rPr>
          <w:rFonts w:ascii="KievitPro-Book" w:hAnsi="KievitPro-Book"/>
          <w:sz w:val="24"/>
          <w:szCs w:val="24"/>
          <w:lang w:val="fr-CH"/>
        </w:rPr>
        <w:t>Selon NCR 2022 (ancien)</w:t>
      </w:r>
      <w:r>
        <w:rPr>
          <w:rFonts w:ascii="KievitPro-Book" w:hAnsi="KievitPro-Book"/>
          <w:sz w:val="24"/>
          <w:szCs w:val="24"/>
          <w:lang w:val="fr-CH"/>
        </w:rPr>
        <w:t xml:space="preserve"> </w:t>
      </w:r>
      <w:r w:rsidRPr="008A37FB">
        <w:rPr>
          <w:rFonts w:ascii="KievitPro-Book" w:hAnsi="KievitPro-Book"/>
          <w:sz w:val="24"/>
          <w:szCs w:val="24"/>
          <w:lang w:val="fr-CH"/>
        </w:rPr>
        <w:t>: «</w:t>
      </w:r>
      <w:r>
        <w:rPr>
          <w:rFonts w:ascii="KievitPro-Book" w:hAnsi="KievitPro-Book"/>
          <w:sz w:val="24"/>
          <w:szCs w:val="24"/>
          <w:lang w:val="fr-CH"/>
        </w:rPr>
        <w:t xml:space="preserve"> </w:t>
      </w:r>
      <w:r w:rsidRPr="008A37FB">
        <w:rPr>
          <w:rFonts w:ascii="KievitPro-Book" w:hAnsi="KievitPro-Book"/>
          <w:sz w:val="24"/>
          <w:szCs w:val="24"/>
          <w:lang w:val="fr-CH"/>
        </w:rPr>
        <w:t>Nous attirons l’attention sur le fait que la moitié du capital-actions et des réserves légales n’est plus couverte (art. 725a CO). [16]</w:t>
      </w:r>
      <w:r>
        <w:rPr>
          <w:rFonts w:ascii="KievitPro-Book" w:hAnsi="KievitPro-Book"/>
          <w:sz w:val="24"/>
          <w:szCs w:val="24"/>
          <w:lang w:val="fr-CH"/>
        </w:rPr>
        <w:t> »</w:t>
      </w:r>
    </w:p>
    <w:p w14:paraId="76064F87" w14:textId="77777777" w:rsidR="00437770" w:rsidRPr="00CB2D6C" w:rsidRDefault="00437770" w:rsidP="00437770">
      <w:pPr>
        <w:numPr>
          <w:ilvl w:val="0"/>
          <w:numId w:val="21"/>
        </w:numPr>
        <w:tabs>
          <w:tab w:val="num" w:pos="720"/>
        </w:tabs>
        <w:ind w:left="426"/>
        <w:contextualSpacing/>
        <w:jc w:val="left"/>
        <w:rPr>
          <w:rFonts w:ascii="KievitPro-Book" w:hAnsi="KievitPro-Book"/>
          <w:sz w:val="24"/>
          <w:szCs w:val="24"/>
        </w:rPr>
      </w:pPr>
      <w:r w:rsidRPr="008A37FB">
        <w:rPr>
          <w:rFonts w:ascii="KievitPro-Book" w:hAnsi="KievitPro-Book"/>
          <w:sz w:val="24"/>
          <w:szCs w:val="24"/>
          <w:lang w:val="fr-CH"/>
        </w:rPr>
        <w:t xml:space="preserve">Selon NCR 2022 (nouveau, depuis mars 2023): « Nous attirons votre attention sur le fait que la moitié de la somme du capital-actions, de la réserve légale </w:t>
      </w:r>
      <w:r>
        <w:rPr>
          <w:rFonts w:ascii="KievitPro-Book" w:hAnsi="KievitPro-Book"/>
          <w:sz w:val="24"/>
          <w:szCs w:val="24"/>
          <w:lang w:val="fr-CH"/>
        </w:rPr>
        <w:t>issue du capital et de la réserve légale issue du b</w:t>
      </w:r>
      <w:r w:rsidRPr="008A37FB">
        <w:rPr>
          <w:rFonts w:ascii="KievitPro-Book" w:hAnsi="KievitPro-Book"/>
          <w:sz w:val="24"/>
          <w:szCs w:val="24"/>
          <w:lang w:val="fr-CH"/>
        </w:rPr>
        <w:t xml:space="preserve">énéfice </w:t>
      </w:r>
      <w:r>
        <w:rPr>
          <w:rFonts w:ascii="KievitPro-Book" w:hAnsi="KievitPro-Book"/>
          <w:sz w:val="24"/>
          <w:szCs w:val="24"/>
          <w:lang w:val="fr-CH"/>
        </w:rPr>
        <w:t xml:space="preserve">qui ne sont pas remboursables aux actionnaires </w:t>
      </w:r>
      <w:r w:rsidRPr="008A37FB">
        <w:rPr>
          <w:rFonts w:ascii="KievitPro-Book" w:hAnsi="KievitPro-Book"/>
          <w:sz w:val="24"/>
          <w:szCs w:val="24"/>
          <w:lang w:val="fr-CH"/>
        </w:rPr>
        <w:t>n'est plus couverte</w:t>
      </w:r>
      <w:r>
        <w:rPr>
          <w:rFonts w:ascii="KievitPro-Book" w:hAnsi="KievitPro-Book"/>
          <w:sz w:val="24"/>
          <w:szCs w:val="24"/>
          <w:lang w:val="fr-CH"/>
        </w:rPr>
        <w:t xml:space="preserve"> </w:t>
      </w:r>
      <w:r w:rsidRPr="008A37FB">
        <w:rPr>
          <w:rFonts w:ascii="KievitPro-Book" w:hAnsi="KievitPro-Book"/>
          <w:sz w:val="24"/>
          <w:szCs w:val="24"/>
          <w:lang w:val="fr-CH"/>
        </w:rPr>
        <w:t xml:space="preserve">(Art. 725a </w:t>
      </w:r>
      <w:r>
        <w:rPr>
          <w:rFonts w:ascii="KievitPro-Book" w:hAnsi="KievitPro-Book"/>
          <w:sz w:val="24"/>
          <w:szCs w:val="24"/>
          <w:lang w:val="fr-CH"/>
        </w:rPr>
        <w:t>al. 1 CO</w:t>
      </w:r>
      <w:r w:rsidRPr="008A37FB">
        <w:rPr>
          <w:rFonts w:ascii="KievitPro-Book" w:hAnsi="KievitPro-Book"/>
          <w:sz w:val="24"/>
          <w:szCs w:val="24"/>
          <w:lang w:val="fr-CH"/>
        </w:rPr>
        <w:t xml:space="preserve">). </w:t>
      </w:r>
      <w:r w:rsidRPr="00CB2D6C">
        <w:rPr>
          <w:rFonts w:ascii="KievitPro-Book" w:hAnsi="KievitPro-Book"/>
          <w:sz w:val="24"/>
          <w:szCs w:val="24"/>
        </w:rPr>
        <w:t>[16] »</w:t>
      </w:r>
    </w:p>
    <w:p w14:paraId="6B25DBE3" w14:textId="77777777" w:rsidR="00437770" w:rsidRDefault="00437770" w:rsidP="00437770">
      <w:pPr>
        <w:rPr>
          <w:rFonts w:ascii="KievitPro-Book" w:hAnsi="KievitPro-Book"/>
          <w:sz w:val="24"/>
          <w:szCs w:val="24"/>
        </w:rPr>
      </w:pPr>
    </w:p>
    <w:p w14:paraId="26717865" w14:textId="77777777" w:rsidR="00437770" w:rsidRDefault="00437770" w:rsidP="00437770">
      <w:pPr>
        <w:rPr>
          <w:rFonts w:ascii="KievitPro-Book" w:hAnsi="KievitPro-Book"/>
          <w:sz w:val="24"/>
          <w:szCs w:val="24"/>
        </w:rPr>
      </w:pPr>
    </w:p>
    <w:p w14:paraId="6A2487F1" w14:textId="77777777" w:rsidR="00437770" w:rsidRDefault="00437770" w:rsidP="00437770">
      <w:pPr>
        <w:rPr>
          <w:rFonts w:ascii="KievitPro-Book" w:hAnsi="KievitPro-Book"/>
          <w:sz w:val="24"/>
          <w:szCs w:val="24"/>
        </w:rPr>
      </w:pPr>
    </w:p>
    <w:p w14:paraId="16800CCF" w14:textId="77777777" w:rsidR="00437770" w:rsidRPr="00CB2D6C" w:rsidRDefault="00437770" w:rsidP="00437770">
      <w:pPr>
        <w:rPr>
          <w:rFonts w:ascii="KievitPro-Book" w:hAnsi="KievitPro-Book"/>
          <w:sz w:val="24"/>
          <w:szCs w:val="24"/>
        </w:rPr>
      </w:pPr>
    </w:p>
    <w:p w14:paraId="433A82CA" w14:textId="3F25FBDA" w:rsidR="00ED414C" w:rsidRPr="00437770" w:rsidRDefault="00ED414C" w:rsidP="00437770"/>
    <w:sectPr w:rsidR="00ED414C" w:rsidRPr="00437770" w:rsidSect="00E80C2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992" w:bottom="851" w:left="1418" w:header="0" w:footer="17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E894" w14:textId="77777777" w:rsidR="00B17EDA" w:rsidRDefault="00B17EDA">
      <w:r>
        <w:separator/>
      </w:r>
    </w:p>
  </w:endnote>
  <w:endnote w:type="continuationSeparator" w:id="0">
    <w:p w14:paraId="76B19DDF" w14:textId="77777777" w:rsidR="00B17EDA" w:rsidRDefault="00B1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ievitPro-Book">
    <w:panose1 w:val="020B06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529883"/>
      <w:docPartObj>
        <w:docPartGallery w:val="Page Numbers (Bottom of Page)"/>
        <w:docPartUnique/>
      </w:docPartObj>
    </w:sdtPr>
    <w:sdtEndPr/>
    <w:sdtContent>
      <w:p w14:paraId="128D5518" w14:textId="474F1AA4" w:rsidR="0015513E" w:rsidRDefault="0015513E" w:rsidP="0015513E">
        <w:pPr>
          <w:pStyle w:val="Fuzeile"/>
          <w:jc w:val="center"/>
        </w:pPr>
        <w:r w:rsidRPr="00985540">
          <w:rPr>
            <w:rFonts w:ascii="KievitPro-Regular" w:hAnsi="KievitPro-Regular"/>
          </w:rPr>
          <w:fldChar w:fldCharType="begin"/>
        </w:r>
        <w:r w:rsidRPr="00985540">
          <w:rPr>
            <w:rFonts w:ascii="KievitPro-Regular" w:hAnsi="KievitPro-Regular"/>
          </w:rPr>
          <w:instrText>PAGE   \* MERGEFORMAT</w:instrText>
        </w:r>
        <w:r w:rsidRPr="00985540">
          <w:rPr>
            <w:rFonts w:ascii="KievitPro-Regular" w:hAnsi="KievitPro-Regular"/>
          </w:rPr>
          <w:fldChar w:fldCharType="separate"/>
        </w:r>
        <w:r w:rsidR="00D9704D" w:rsidRPr="00D9704D">
          <w:rPr>
            <w:rFonts w:ascii="KievitPro-Regular" w:hAnsi="KievitPro-Regular"/>
            <w:noProof/>
            <w:lang w:val="de-DE"/>
          </w:rPr>
          <w:t>1</w:t>
        </w:r>
        <w:r w:rsidRPr="00985540">
          <w:rPr>
            <w:rFonts w:ascii="KievitPro-Regular" w:hAnsi="KievitPro-Regular"/>
          </w:rPr>
          <w:fldChar w:fldCharType="end"/>
        </w:r>
        <w:r w:rsidR="00985540">
          <w:rPr>
            <w:rFonts w:ascii="KievitPro-Regular" w:hAnsi="KievitPro-Regular"/>
          </w:rPr>
          <w:tab/>
        </w:r>
        <w:r w:rsidR="00985540">
          <w:rPr>
            <w:rFonts w:ascii="KievitPro-Regular" w:hAnsi="KievitPro-Regular"/>
          </w:rPr>
          <w:tab/>
          <w:t>www.fiduciairesuisse.ch</w:t>
        </w:r>
        <w:r w:rsidR="000027D7">
          <w:tab/>
        </w:r>
        <w:r w:rsidR="000027D7">
          <w:tab/>
        </w:r>
      </w:p>
    </w:sdtContent>
  </w:sdt>
  <w:p w14:paraId="53062ACC" w14:textId="77777777" w:rsidR="006A55E4" w:rsidRDefault="006A55E4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573571"/>
      <w:docPartObj>
        <w:docPartGallery w:val="Page Numbers (Bottom of Page)"/>
        <w:docPartUnique/>
      </w:docPartObj>
    </w:sdtPr>
    <w:sdtEndPr>
      <w:rPr>
        <w:rFonts w:ascii="KievitPro-Regular" w:hAnsi="KievitPro-Regular"/>
      </w:rPr>
    </w:sdtEndPr>
    <w:sdtContent>
      <w:p w14:paraId="367DFB9E" w14:textId="2DE416CE" w:rsidR="00E80C21" w:rsidRPr="00434C91" w:rsidRDefault="00E80C21" w:rsidP="00E80C21">
        <w:pPr>
          <w:pStyle w:val="Fuzeile"/>
          <w:rPr>
            <w:rFonts w:ascii="KievitPro-Regular" w:hAnsi="KievitPro-Regular"/>
          </w:rPr>
        </w:pPr>
        <w:r w:rsidRPr="00710EA7">
          <w:rPr>
            <w:rFonts w:ascii="KievitPro-Regular" w:hAnsi="KievitPro-Regular"/>
          </w:rPr>
          <w:fldChar w:fldCharType="begin"/>
        </w:r>
        <w:r w:rsidRPr="00710EA7">
          <w:rPr>
            <w:rFonts w:ascii="KievitPro-Regular" w:hAnsi="KievitPro-Regular"/>
          </w:rPr>
          <w:instrText>PAGE   \* MERGEFORMAT</w:instrText>
        </w:r>
        <w:r w:rsidRPr="00710EA7">
          <w:rPr>
            <w:rFonts w:ascii="KievitPro-Regular" w:hAnsi="KievitPro-Regular"/>
          </w:rPr>
          <w:fldChar w:fldCharType="separate"/>
        </w:r>
        <w:r w:rsidR="00214894" w:rsidRPr="00214894">
          <w:rPr>
            <w:rFonts w:ascii="KievitPro-Regular" w:hAnsi="KievitPro-Regular"/>
            <w:noProof/>
            <w:lang w:val="de-DE"/>
          </w:rPr>
          <w:t>1</w:t>
        </w:r>
        <w:r w:rsidRPr="00710EA7">
          <w:rPr>
            <w:rFonts w:ascii="KievitPro-Regular" w:hAnsi="KievitPro-Regular"/>
          </w:rPr>
          <w:fldChar w:fldCharType="end"/>
        </w:r>
        <w:r>
          <w:rPr>
            <w:rFonts w:ascii="KievitPro-Regular" w:hAnsi="KievitPro-Regular"/>
          </w:rPr>
          <w:tab/>
        </w:r>
        <w:r>
          <w:rPr>
            <w:rFonts w:ascii="KievitPro-Regular" w:hAnsi="KievitPro-Regular"/>
          </w:rPr>
          <w:tab/>
          <w:t>www.fiduciairesuisse.ch</w:t>
        </w:r>
      </w:p>
    </w:sdtContent>
  </w:sdt>
  <w:p w14:paraId="7FB366B5" w14:textId="0AA6A7BF" w:rsidR="0015513E" w:rsidRDefault="001551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8DE7" w14:textId="77777777" w:rsidR="00B17EDA" w:rsidRDefault="00B17EDA">
      <w:r>
        <w:separator/>
      </w:r>
    </w:p>
  </w:footnote>
  <w:footnote w:type="continuationSeparator" w:id="0">
    <w:p w14:paraId="6D65D770" w14:textId="77777777" w:rsidR="00B17EDA" w:rsidRDefault="00B1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CD71" w14:textId="4D8614AC" w:rsidR="006A55E4" w:rsidRPr="000A7994" w:rsidRDefault="00D9704D" w:rsidP="00985540">
    <w:pPr>
      <w:pStyle w:val="Kopfzeile"/>
      <w:tabs>
        <w:tab w:val="clear" w:pos="9072"/>
        <w:tab w:val="right" w:pos="9498"/>
      </w:tabs>
      <w:ind w:left="-1418"/>
      <w:rPr>
        <w:sz w:val="16"/>
      </w:rPr>
    </w:pPr>
    <w:r>
      <w:rPr>
        <w:noProof/>
        <w:lang w:eastAsia="de-CH"/>
      </w:rPr>
      <w:drawing>
        <wp:inline distT="0" distB="0" distL="0" distR="0" wp14:anchorId="471D829E" wp14:editId="481E4D3E">
          <wp:extent cx="7591425" cy="685800"/>
          <wp:effectExtent l="0" t="0" r="9525" b="0"/>
          <wp:docPr id="2" name="Grafik 2" descr="50744_Treuhand_Suisse_Dokument_Kopfzeile_210x19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744_Treuhand_Suisse_Dokument_Kopfzeile_210x19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5E4"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B6A0" w14:textId="3AE2AD95" w:rsidR="0015513E" w:rsidRDefault="00D9704D" w:rsidP="00985540">
    <w:pPr>
      <w:pStyle w:val="Kopfzeile"/>
      <w:ind w:left="-1418"/>
    </w:pPr>
    <w:r>
      <w:rPr>
        <w:noProof/>
        <w:lang w:eastAsia="de-CH"/>
      </w:rPr>
      <w:drawing>
        <wp:inline distT="0" distB="0" distL="0" distR="0" wp14:anchorId="16D8AC97" wp14:editId="22914A78">
          <wp:extent cx="7591425" cy="685800"/>
          <wp:effectExtent l="0" t="0" r="9525" b="0"/>
          <wp:docPr id="1" name="Grafik 1" descr="50744_Treuhand_Suisse_Dokument_Kopfzeile_210x19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0744_Treuhand_Suisse_Dokument_Kopfzeile_210x19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E6A4E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AC57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9ACC4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8279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52453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14E6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26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4A8D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4C28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ACCF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53DA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BE741B"/>
    <w:multiLevelType w:val="multilevel"/>
    <w:tmpl w:val="E436A6FE"/>
    <w:lvl w:ilvl="0">
      <w:start w:val="1"/>
      <w:numFmt w:val="bullet"/>
      <w:lvlText w:val=""/>
      <w:lvlJc w:val="left"/>
      <w:pPr>
        <w:tabs>
          <w:tab w:val="num" w:pos="-1877"/>
        </w:tabs>
        <w:ind w:left="-187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157"/>
        </w:tabs>
        <w:ind w:left="-115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437"/>
        </w:tabs>
        <w:ind w:left="-43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78213C"/>
    <w:multiLevelType w:val="multilevel"/>
    <w:tmpl w:val="800E2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F4E8A"/>
    <w:multiLevelType w:val="hybridMultilevel"/>
    <w:tmpl w:val="28A6E728"/>
    <w:lvl w:ilvl="0" w:tplc="88467684">
      <w:start w:val="3"/>
      <w:numFmt w:val="bullet"/>
      <w:lvlText w:val="-"/>
      <w:lvlJc w:val="left"/>
      <w:pPr>
        <w:ind w:left="360" w:hanging="360"/>
      </w:pPr>
      <w:rPr>
        <w:rFonts w:ascii="KievitPro-Regular" w:eastAsia="Times New Roman" w:hAnsi="KievitPro-Regular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A3318"/>
    <w:multiLevelType w:val="hybridMultilevel"/>
    <w:tmpl w:val="A9D61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A5581"/>
    <w:multiLevelType w:val="hybridMultilevel"/>
    <w:tmpl w:val="0F1C1E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2"/>
  </w:num>
  <w:num w:numId="14">
    <w:abstractNumId w:val="14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B06F23"/>
    <w:rsid w:val="000027D7"/>
    <w:rsid w:val="00011F65"/>
    <w:rsid w:val="00014FE7"/>
    <w:rsid w:val="00022146"/>
    <w:rsid w:val="00030A1D"/>
    <w:rsid w:val="00031143"/>
    <w:rsid w:val="00034EC8"/>
    <w:rsid w:val="00043367"/>
    <w:rsid w:val="00044DA3"/>
    <w:rsid w:val="0004654A"/>
    <w:rsid w:val="00051E56"/>
    <w:rsid w:val="00060285"/>
    <w:rsid w:val="0006474C"/>
    <w:rsid w:val="00066A1A"/>
    <w:rsid w:val="00072264"/>
    <w:rsid w:val="00077D95"/>
    <w:rsid w:val="00096A19"/>
    <w:rsid w:val="000A4888"/>
    <w:rsid w:val="000A7994"/>
    <w:rsid w:val="000B6002"/>
    <w:rsid w:val="000B7B7E"/>
    <w:rsid w:val="000C1B45"/>
    <w:rsid w:val="000C2409"/>
    <w:rsid w:val="000C6262"/>
    <w:rsid w:val="000C7C33"/>
    <w:rsid w:val="000D3F3A"/>
    <w:rsid w:val="000D6B47"/>
    <w:rsid w:val="000E11F3"/>
    <w:rsid w:val="000E747F"/>
    <w:rsid w:val="000F1A95"/>
    <w:rsid w:val="000F325B"/>
    <w:rsid w:val="00101061"/>
    <w:rsid w:val="00102EBF"/>
    <w:rsid w:val="00110148"/>
    <w:rsid w:val="0012328F"/>
    <w:rsid w:val="0012347A"/>
    <w:rsid w:val="0013786E"/>
    <w:rsid w:val="00144323"/>
    <w:rsid w:val="00145A51"/>
    <w:rsid w:val="0015437A"/>
    <w:rsid w:val="0015513E"/>
    <w:rsid w:val="00164C3A"/>
    <w:rsid w:val="001679DB"/>
    <w:rsid w:val="00170985"/>
    <w:rsid w:val="001725F0"/>
    <w:rsid w:val="00174A28"/>
    <w:rsid w:val="00174A88"/>
    <w:rsid w:val="0018046C"/>
    <w:rsid w:val="001A4D24"/>
    <w:rsid w:val="001A54D8"/>
    <w:rsid w:val="001B0079"/>
    <w:rsid w:val="001B18F0"/>
    <w:rsid w:val="001D2316"/>
    <w:rsid w:val="001D2452"/>
    <w:rsid w:val="001E530F"/>
    <w:rsid w:val="00204444"/>
    <w:rsid w:val="002120A4"/>
    <w:rsid w:val="00214894"/>
    <w:rsid w:val="0021610B"/>
    <w:rsid w:val="00226832"/>
    <w:rsid w:val="00230144"/>
    <w:rsid w:val="002356A0"/>
    <w:rsid w:val="00240800"/>
    <w:rsid w:val="002456E2"/>
    <w:rsid w:val="002653C6"/>
    <w:rsid w:val="002718A0"/>
    <w:rsid w:val="002723DB"/>
    <w:rsid w:val="0027665E"/>
    <w:rsid w:val="00281641"/>
    <w:rsid w:val="002A7AFF"/>
    <w:rsid w:val="002B0BE7"/>
    <w:rsid w:val="002C2C7D"/>
    <w:rsid w:val="002D2F05"/>
    <w:rsid w:val="002E3EF6"/>
    <w:rsid w:val="002E6CCA"/>
    <w:rsid w:val="002F4559"/>
    <w:rsid w:val="002F5F8A"/>
    <w:rsid w:val="00304E79"/>
    <w:rsid w:val="00310D19"/>
    <w:rsid w:val="003149D7"/>
    <w:rsid w:val="00315E83"/>
    <w:rsid w:val="00323419"/>
    <w:rsid w:val="003314C9"/>
    <w:rsid w:val="00337F3E"/>
    <w:rsid w:val="003429F7"/>
    <w:rsid w:val="00345540"/>
    <w:rsid w:val="003565AD"/>
    <w:rsid w:val="00375A89"/>
    <w:rsid w:val="00383EAE"/>
    <w:rsid w:val="00384BBA"/>
    <w:rsid w:val="00393036"/>
    <w:rsid w:val="00394B1E"/>
    <w:rsid w:val="00394E38"/>
    <w:rsid w:val="003B7168"/>
    <w:rsid w:val="003E1BCC"/>
    <w:rsid w:val="003E1C3E"/>
    <w:rsid w:val="003E26AD"/>
    <w:rsid w:val="003E2702"/>
    <w:rsid w:val="003E3625"/>
    <w:rsid w:val="003E69D0"/>
    <w:rsid w:val="003F12C0"/>
    <w:rsid w:val="00421161"/>
    <w:rsid w:val="00422058"/>
    <w:rsid w:val="004303D5"/>
    <w:rsid w:val="00437770"/>
    <w:rsid w:val="004377F1"/>
    <w:rsid w:val="00441B9B"/>
    <w:rsid w:val="00443E5B"/>
    <w:rsid w:val="004578A8"/>
    <w:rsid w:val="004601B6"/>
    <w:rsid w:val="0046052A"/>
    <w:rsid w:val="00465695"/>
    <w:rsid w:val="00467CDC"/>
    <w:rsid w:val="00470147"/>
    <w:rsid w:val="004735F8"/>
    <w:rsid w:val="004759BC"/>
    <w:rsid w:val="00476B5A"/>
    <w:rsid w:val="0048052C"/>
    <w:rsid w:val="004862FE"/>
    <w:rsid w:val="00491672"/>
    <w:rsid w:val="00491BE7"/>
    <w:rsid w:val="00493F6A"/>
    <w:rsid w:val="004A0725"/>
    <w:rsid w:val="004A1404"/>
    <w:rsid w:val="004A3868"/>
    <w:rsid w:val="004B7FCC"/>
    <w:rsid w:val="004C17BC"/>
    <w:rsid w:val="004C391A"/>
    <w:rsid w:val="004C7F44"/>
    <w:rsid w:val="004D06E9"/>
    <w:rsid w:val="004D6744"/>
    <w:rsid w:val="004D67B5"/>
    <w:rsid w:val="004F2FF0"/>
    <w:rsid w:val="004F73AE"/>
    <w:rsid w:val="00504080"/>
    <w:rsid w:val="0050586D"/>
    <w:rsid w:val="005107ED"/>
    <w:rsid w:val="00522300"/>
    <w:rsid w:val="00522AC4"/>
    <w:rsid w:val="00526F16"/>
    <w:rsid w:val="00535282"/>
    <w:rsid w:val="00546D74"/>
    <w:rsid w:val="00564EE4"/>
    <w:rsid w:val="00571136"/>
    <w:rsid w:val="00573278"/>
    <w:rsid w:val="005825E4"/>
    <w:rsid w:val="005878B2"/>
    <w:rsid w:val="005A2704"/>
    <w:rsid w:val="005A2741"/>
    <w:rsid w:val="005B719D"/>
    <w:rsid w:val="005C676F"/>
    <w:rsid w:val="005E05A8"/>
    <w:rsid w:val="005F1CC3"/>
    <w:rsid w:val="005F4A29"/>
    <w:rsid w:val="006003C8"/>
    <w:rsid w:val="00602170"/>
    <w:rsid w:val="0060673D"/>
    <w:rsid w:val="00607B2C"/>
    <w:rsid w:val="006238F4"/>
    <w:rsid w:val="00631204"/>
    <w:rsid w:val="00634458"/>
    <w:rsid w:val="00635E7E"/>
    <w:rsid w:val="00642E5B"/>
    <w:rsid w:val="00650B30"/>
    <w:rsid w:val="00655803"/>
    <w:rsid w:val="006607B9"/>
    <w:rsid w:val="00662FF0"/>
    <w:rsid w:val="00663EC4"/>
    <w:rsid w:val="00667ABF"/>
    <w:rsid w:val="00675162"/>
    <w:rsid w:val="0069052E"/>
    <w:rsid w:val="00692882"/>
    <w:rsid w:val="006945D8"/>
    <w:rsid w:val="006A0E6E"/>
    <w:rsid w:val="006A55E4"/>
    <w:rsid w:val="006B2AE1"/>
    <w:rsid w:val="006B5914"/>
    <w:rsid w:val="006B7908"/>
    <w:rsid w:val="006C34ED"/>
    <w:rsid w:val="006C390B"/>
    <w:rsid w:val="006D6F4B"/>
    <w:rsid w:val="006D71E7"/>
    <w:rsid w:val="006E5CE6"/>
    <w:rsid w:val="00704FB2"/>
    <w:rsid w:val="00705010"/>
    <w:rsid w:val="00711B71"/>
    <w:rsid w:val="007203AC"/>
    <w:rsid w:val="00743283"/>
    <w:rsid w:val="0074346B"/>
    <w:rsid w:val="00760CD8"/>
    <w:rsid w:val="00762F93"/>
    <w:rsid w:val="00767821"/>
    <w:rsid w:val="0077055E"/>
    <w:rsid w:val="00776ED8"/>
    <w:rsid w:val="007827CA"/>
    <w:rsid w:val="007A2A1B"/>
    <w:rsid w:val="007A76AA"/>
    <w:rsid w:val="007B091F"/>
    <w:rsid w:val="007B2DA9"/>
    <w:rsid w:val="007B75FB"/>
    <w:rsid w:val="007C2F13"/>
    <w:rsid w:val="007C31AA"/>
    <w:rsid w:val="007D32FC"/>
    <w:rsid w:val="007E5835"/>
    <w:rsid w:val="007E58AA"/>
    <w:rsid w:val="007E5E0A"/>
    <w:rsid w:val="007F538A"/>
    <w:rsid w:val="00802B8C"/>
    <w:rsid w:val="00810A6C"/>
    <w:rsid w:val="00813ED9"/>
    <w:rsid w:val="008160B9"/>
    <w:rsid w:val="008166D1"/>
    <w:rsid w:val="00822233"/>
    <w:rsid w:val="00824E43"/>
    <w:rsid w:val="00825C49"/>
    <w:rsid w:val="008275E3"/>
    <w:rsid w:val="008326B5"/>
    <w:rsid w:val="00864782"/>
    <w:rsid w:val="00865C66"/>
    <w:rsid w:val="008672C9"/>
    <w:rsid w:val="00867A45"/>
    <w:rsid w:val="0088750A"/>
    <w:rsid w:val="00887554"/>
    <w:rsid w:val="008903D9"/>
    <w:rsid w:val="008A07B1"/>
    <w:rsid w:val="008A429E"/>
    <w:rsid w:val="008B644E"/>
    <w:rsid w:val="008C2574"/>
    <w:rsid w:val="008D12D6"/>
    <w:rsid w:val="008D5272"/>
    <w:rsid w:val="008D5662"/>
    <w:rsid w:val="008E58BF"/>
    <w:rsid w:val="008F4738"/>
    <w:rsid w:val="008F5A12"/>
    <w:rsid w:val="0090004A"/>
    <w:rsid w:val="00902D7B"/>
    <w:rsid w:val="009143B5"/>
    <w:rsid w:val="00934B08"/>
    <w:rsid w:val="009467F8"/>
    <w:rsid w:val="009471A3"/>
    <w:rsid w:val="009478D6"/>
    <w:rsid w:val="0095267C"/>
    <w:rsid w:val="0095497A"/>
    <w:rsid w:val="00965BEB"/>
    <w:rsid w:val="0096746E"/>
    <w:rsid w:val="00970DCB"/>
    <w:rsid w:val="009738B8"/>
    <w:rsid w:val="00980258"/>
    <w:rsid w:val="0098247B"/>
    <w:rsid w:val="009845E8"/>
    <w:rsid w:val="00985540"/>
    <w:rsid w:val="009950BD"/>
    <w:rsid w:val="00997D54"/>
    <w:rsid w:val="009A2785"/>
    <w:rsid w:val="009A6A3C"/>
    <w:rsid w:val="009B5205"/>
    <w:rsid w:val="009C0B54"/>
    <w:rsid w:val="009C448E"/>
    <w:rsid w:val="009D1E4F"/>
    <w:rsid w:val="009D4FD9"/>
    <w:rsid w:val="009D7702"/>
    <w:rsid w:val="009E0B29"/>
    <w:rsid w:val="009F0FF3"/>
    <w:rsid w:val="00A0143D"/>
    <w:rsid w:val="00A023CC"/>
    <w:rsid w:val="00A13812"/>
    <w:rsid w:val="00A307C8"/>
    <w:rsid w:val="00A325D1"/>
    <w:rsid w:val="00A41B20"/>
    <w:rsid w:val="00A44292"/>
    <w:rsid w:val="00A46E00"/>
    <w:rsid w:val="00A5100D"/>
    <w:rsid w:val="00A55AA7"/>
    <w:rsid w:val="00A57521"/>
    <w:rsid w:val="00A7402A"/>
    <w:rsid w:val="00A75EF5"/>
    <w:rsid w:val="00A76ABE"/>
    <w:rsid w:val="00A7761B"/>
    <w:rsid w:val="00A8442B"/>
    <w:rsid w:val="00A84AF9"/>
    <w:rsid w:val="00A84FE2"/>
    <w:rsid w:val="00A879D9"/>
    <w:rsid w:val="00A95016"/>
    <w:rsid w:val="00A971BA"/>
    <w:rsid w:val="00AB0C6B"/>
    <w:rsid w:val="00AB2E7C"/>
    <w:rsid w:val="00AB32DB"/>
    <w:rsid w:val="00AB434A"/>
    <w:rsid w:val="00AD1BF5"/>
    <w:rsid w:val="00AD4626"/>
    <w:rsid w:val="00AE469E"/>
    <w:rsid w:val="00AE4EF4"/>
    <w:rsid w:val="00AE5A0C"/>
    <w:rsid w:val="00B06F23"/>
    <w:rsid w:val="00B1040B"/>
    <w:rsid w:val="00B16EC7"/>
    <w:rsid w:val="00B17EDA"/>
    <w:rsid w:val="00B21A8F"/>
    <w:rsid w:val="00B224E2"/>
    <w:rsid w:val="00B24B1C"/>
    <w:rsid w:val="00B26A26"/>
    <w:rsid w:val="00B27B41"/>
    <w:rsid w:val="00B35FA8"/>
    <w:rsid w:val="00B43B78"/>
    <w:rsid w:val="00B47370"/>
    <w:rsid w:val="00B62A15"/>
    <w:rsid w:val="00B62FDF"/>
    <w:rsid w:val="00B7114F"/>
    <w:rsid w:val="00B75A44"/>
    <w:rsid w:val="00B76B82"/>
    <w:rsid w:val="00B775E1"/>
    <w:rsid w:val="00B8021D"/>
    <w:rsid w:val="00B81835"/>
    <w:rsid w:val="00B8513F"/>
    <w:rsid w:val="00B866E3"/>
    <w:rsid w:val="00B91A92"/>
    <w:rsid w:val="00B9453C"/>
    <w:rsid w:val="00B972B5"/>
    <w:rsid w:val="00BA2AFB"/>
    <w:rsid w:val="00BC2DC7"/>
    <w:rsid w:val="00BC5263"/>
    <w:rsid w:val="00BD4F8D"/>
    <w:rsid w:val="00BF165F"/>
    <w:rsid w:val="00C012D3"/>
    <w:rsid w:val="00C0342D"/>
    <w:rsid w:val="00C0466B"/>
    <w:rsid w:val="00C06F70"/>
    <w:rsid w:val="00C07E4D"/>
    <w:rsid w:val="00C2424B"/>
    <w:rsid w:val="00C3472E"/>
    <w:rsid w:val="00C36DEB"/>
    <w:rsid w:val="00C44883"/>
    <w:rsid w:val="00C479DD"/>
    <w:rsid w:val="00C5100B"/>
    <w:rsid w:val="00C55E55"/>
    <w:rsid w:val="00C678B1"/>
    <w:rsid w:val="00C70B6F"/>
    <w:rsid w:val="00C84A8B"/>
    <w:rsid w:val="00C85AAF"/>
    <w:rsid w:val="00C86CC1"/>
    <w:rsid w:val="00C87E74"/>
    <w:rsid w:val="00C94A72"/>
    <w:rsid w:val="00C95DDE"/>
    <w:rsid w:val="00CA62C6"/>
    <w:rsid w:val="00CB391A"/>
    <w:rsid w:val="00CB6C33"/>
    <w:rsid w:val="00CB7581"/>
    <w:rsid w:val="00CC07D8"/>
    <w:rsid w:val="00CC1CB1"/>
    <w:rsid w:val="00CC502D"/>
    <w:rsid w:val="00CC7C9E"/>
    <w:rsid w:val="00CD451B"/>
    <w:rsid w:val="00CD79B0"/>
    <w:rsid w:val="00CE5E8E"/>
    <w:rsid w:val="00CF4B3F"/>
    <w:rsid w:val="00D11B1C"/>
    <w:rsid w:val="00D15BA5"/>
    <w:rsid w:val="00D27B96"/>
    <w:rsid w:val="00D30D7A"/>
    <w:rsid w:val="00D35A2D"/>
    <w:rsid w:val="00D5243F"/>
    <w:rsid w:val="00D5432F"/>
    <w:rsid w:val="00D546B1"/>
    <w:rsid w:val="00D5764A"/>
    <w:rsid w:val="00D613EB"/>
    <w:rsid w:val="00D634BB"/>
    <w:rsid w:val="00D65B18"/>
    <w:rsid w:val="00D8046F"/>
    <w:rsid w:val="00D84062"/>
    <w:rsid w:val="00D84224"/>
    <w:rsid w:val="00D9704D"/>
    <w:rsid w:val="00DA2416"/>
    <w:rsid w:val="00DB1BE3"/>
    <w:rsid w:val="00DB701A"/>
    <w:rsid w:val="00DC402E"/>
    <w:rsid w:val="00DE084F"/>
    <w:rsid w:val="00DF141B"/>
    <w:rsid w:val="00DF2447"/>
    <w:rsid w:val="00DF2D46"/>
    <w:rsid w:val="00DF58D6"/>
    <w:rsid w:val="00E07034"/>
    <w:rsid w:val="00E10547"/>
    <w:rsid w:val="00E11D75"/>
    <w:rsid w:val="00E14F83"/>
    <w:rsid w:val="00E17F7A"/>
    <w:rsid w:val="00E20681"/>
    <w:rsid w:val="00E22AF9"/>
    <w:rsid w:val="00E24752"/>
    <w:rsid w:val="00E25EFC"/>
    <w:rsid w:val="00E26038"/>
    <w:rsid w:val="00E3110D"/>
    <w:rsid w:val="00E47614"/>
    <w:rsid w:val="00E527F0"/>
    <w:rsid w:val="00E5723C"/>
    <w:rsid w:val="00E60D1E"/>
    <w:rsid w:val="00E618C5"/>
    <w:rsid w:val="00E733A6"/>
    <w:rsid w:val="00E80C21"/>
    <w:rsid w:val="00E83F13"/>
    <w:rsid w:val="00E86BDC"/>
    <w:rsid w:val="00E87ACF"/>
    <w:rsid w:val="00E92557"/>
    <w:rsid w:val="00E93342"/>
    <w:rsid w:val="00EA2946"/>
    <w:rsid w:val="00EB114D"/>
    <w:rsid w:val="00EB5313"/>
    <w:rsid w:val="00EB65CC"/>
    <w:rsid w:val="00EB70BB"/>
    <w:rsid w:val="00EC04FE"/>
    <w:rsid w:val="00EC7915"/>
    <w:rsid w:val="00ED3956"/>
    <w:rsid w:val="00ED4046"/>
    <w:rsid w:val="00ED414C"/>
    <w:rsid w:val="00EE1788"/>
    <w:rsid w:val="00EF0045"/>
    <w:rsid w:val="00F071AA"/>
    <w:rsid w:val="00F072F9"/>
    <w:rsid w:val="00F1182D"/>
    <w:rsid w:val="00F17425"/>
    <w:rsid w:val="00F20EE9"/>
    <w:rsid w:val="00F232BC"/>
    <w:rsid w:val="00F25AB9"/>
    <w:rsid w:val="00F26DE6"/>
    <w:rsid w:val="00F347B6"/>
    <w:rsid w:val="00F35AA7"/>
    <w:rsid w:val="00F37313"/>
    <w:rsid w:val="00F45778"/>
    <w:rsid w:val="00F70736"/>
    <w:rsid w:val="00F9751C"/>
    <w:rsid w:val="00FA3551"/>
    <w:rsid w:val="00FA3DCC"/>
    <w:rsid w:val="00FB5C5C"/>
    <w:rsid w:val="00FC49ED"/>
    <w:rsid w:val="00FC4AA1"/>
    <w:rsid w:val="00FD15E2"/>
    <w:rsid w:val="00FD17EF"/>
    <w:rsid w:val="00FE1A2B"/>
    <w:rsid w:val="00FF2099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6C6BBD8"/>
  <w15:docId w15:val="{9A8CCC11-0F88-4BEA-8E86-64A1775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napToGrid w:val="0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1"/>
      </w:numPr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1"/>
      </w:numPr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"/>
        <w:tab w:val="left" w:pos="1134"/>
        <w:tab w:val="left" w:pos="2268"/>
        <w:tab w:val="left" w:pos="5103"/>
        <w:tab w:val="left" w:pos="6804"/>
        <w:tab w:val="right" w:pos="9356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567"/>
        <w:tab w:val="left" w:pos="1134"/>
        <w:tab w:val="left" w:pos="2268"/>
        <w:tab w:val="left" w:pos="5103"/>
        <w:tab w:val="left" w:pos="6804"/>
        <w:tab w:val="right" w:pos="9356"/>
      </w:tabs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440"/>
        <w:tab w:val="left" w:pos="993"/>
        <w:tab w:val="right" w:leader="dot" w:pos="9345"/>
      </w:tabs>
      <w:spacing w:after="120"/>
      <w:ind w:left="425"/>
    </w:pPr>
    <w:rPr>
      <w:noProof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9345"/>
      </w:tabs>
    </w:pPr>
    <w:rPr>
      <w:noProof/>
      <w:szCs w:val="22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701"/>
        <w:tab w:val="left" w:pos="1985"/>
        <w:tab w:val="right" w:leader="dot" w:pos="9345"/>
      </w:tabs>
      <w:spacing w:after="120"/>
      <w:ind w:left="992"/>
    </w:pPr>
    <w:rPr>
      <w:noProof/>
    </w:r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Titel">
    <w:name w:val="Title"/>
    <w:basedOn w:val="Standard"/>
    <w:link w:val="TitelZchn"/>
    <w:uiPriority w:val="10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link w:val="FunotentextZchn"/>
    <w:uiPriority w:val="99"/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snapToGrid w:val="0"/>
      <w:lang w:eastAsia="de-DE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tabs>
        <w:tab w:val="clear" w:pos="567"/>
        <w:tab w:val="clear" w:pos="1134"/>
        <w:tab w:val="clear" w:pos="2268"/>
        <w:tab w:val="clear" w:pos="5103"/>
        <w:tab w:val="clear" w:pos="6804"/>
        <w:tab w:val="clear" w:pos="9356"/>
      </w:tabs>
      <w:spacing w:after="120"/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F23"/>
    <w:rPr>
      <w:rFonts w:ascii="Tahoma" w:hAnsi="Tahoma" w:cs="Tahoma"/>
      <w:snapToGrid w:val="0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E1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rTextZchn">
    <w:name w:val="Nur Text Zchn"/>
    <w:link w:val="NurText"/>
    <w:uiPriority w:val="99"/>
    <w:rsid w:val="004862FE"/>
    <w:rPr>
      <w:rFonts w:ascii="Courier New" w:hAnsi="Courier New" w:cs="Courier New"/>
      <w:snapToGrid w:val="0"/>
      <w:lang w:eastAsia="de-DE"/>
    </w:rPr>
  </w:style>
  <w:style w:type="paragraph" w:styleId="Listenabsatz">
    <w:name w:val="List Paragraph"/>
    <w:basedOn w:val="Standard"/>
    <w:uiPriority w:val="34"/>
    <w:qFormat/>
    <w:rsid w:val="004862FE"/>
    <w:pPr>
      <w:ind w:left="708"/>
    </w:pPr>
  </w:style>
  <w:style w:type="character" w:styleId="Hyperlink">
    <w:name w:val="Hyperlink"/>
    <w:uiPriority w:val="99"/>
    <w:unhideWhenUsed/>
    <w:rsid w:val="00B21A8F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522AC4"/>
    <w:rPr>
      <w:color w:val="954F72"/>
      <w:u w:val="single"/>
    </w:rPr>
  </w:style>
  <w:style w:type="paragraph" w:styleId="berarbeitung">
    <w:name w:val="Revision"/>
    <w:hidden/>
    <w:uiPriority w:val="99"/>
    <w:semiHidden/>
    <w:rsid w:val="001D2316"/>
    <w:rPr>
      <w:rFonts w:ascii="Arial" w:hAnsi="Arial"/>
      <w:snapToGrid w:val="0"/>
      <w:lang w:eastAsia="de-DE"/>
    </w:rPr>
  </w:style>
  <w:style w:type="character" w:styleId="Fett">
    <w:name w:val="Strong"/>
    <w:uiPriority w:val="22"/>
    <w:qFormat/>
    <w:rsid w:val="00CD79B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15513E"/>
    <w:rPr>
      <w:rFonts w:ascii="Arial" w:hAnsi="Arial"/>
      <w:snapToGrid w:val="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7034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703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E07034"/>
    <w:rPr>
      <w:rFonts w:ascii="Arial" w:hAnsi="Arial"/>
      <w:snapToGrid w:val="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7034"/>
    <w:rPr>
      <w:rFonts w:ascii="Arial" w:hAnsi="Arial"/>
      <w:b/>
      <w:bCs/>
      <w:snapToGrid w:val="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D9704D"/>
    <w:rPr>
      <w:rFonts w:ascii="Arial" w:hAnsi="Arial"/>
      <w:b/>
      <w:snapToGrid w:val="0"/>
      <w:sz w:val="32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704D"/>
    <w:rPr>
      <w:rFonts w:ascii="Arial" w:hAnsi="Arial"/>
      <w:snapToGrid w:val="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D9704D"/>
    <w:rPr>
      <w:sz w:val="22"/>
      <w:vertAlign w:val="superscript"/>
    </w:rPr>
  </w:style>
  <w:style w:type="paragraph" w:customStyle="1" w:styleId="Absatz">
    <w:name w:val="Absatz"/>
    <w:basedOn w:val="Standard"/>
    <w:qFormat/>
    <w:rsid w:val="00D9704D"/>
    <w:pPr>
      <w:spacing w:after="120"/>
      <w:ind w:left="425"/>
      <w:jc w:val="left"/>
    </w:pPr>
    <w:rPr>
      <w:rFonts w:eastAsiaTheme="minorHAnsi" w:cstheme="minorBidi"/>
      <w:snapToGrid/>
      <w:kern w:val="2"/>
      <w:sz w:val="22"/>
      <w:szCs w:val="22"/>
      <w:lang w:eastAsia="en-US"/>
      <w14:ligatures w14:val="standardContextual"/>
    </w:rPr>
  </w:style>
  <w:style w:type="paragraph" w:customStyle="1" w:styleId="ESUTBold">
    <w:name w:val="ES_UT_Bold"/>
    <w:basedOn w:val="Standard"/>
    <w:uiPriority w:val="99"/>
    <w:qFormat/>
    <w:rsid w:val="00437770"/>
    <w:pPr>
      <w:keepNext/>
      <w:keepLines/>
      <w:spacing w:before="240" w:after="40" w:line="300" w:lineRule="auto"/>
      <w:contextualSpacing/>
      <w:jc w:val="left"/>
      <w:outlineLvl w:val="1"/>
    </w:pPr>
    <w:rPr>
      <w:rFonts w:cstheme="majorBidi"/>
      <w:b/>
      <w:snapToGrid/>
      <w:szCs w:val="26"/>
      <w:lang w:val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E814-4119-4F14-B4FF-FA956F9F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Partnerschaftskonzept D</vt:lpstr>
      <vt:lpstr>AKTENNOTITZ____6. November 1995</vt:lpstr>
    </vt:vector>
  </TitlesOfParts>
  <Company>TREUHAND|SUISSE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Partnerschaftskonzept D</dc:title>
  <dc:creator>Vanessa J. Lincoln</dc:creator>
  <cp:lastModifiedBy>Milena Zimmermann</cp:lastModifiedBy>
  <cp:revision>2</cp:revision>
  <cp:lastPrinted>2022-08-23T12:51:00Z</cp:lastPrinted>
  <dcterms:created xsi:type="dcterms:W3CDTF">2023-09-28T14:45:00Z</dcterms:created>
  <dcterms:modified xsi:type="dcterms:W3CDTF">2023-09-28T14:45:00Z</dcterms:modified>
</cp:coreProperties>
</file>